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Техническое задание</w:t>
      </w:r>
    </w:p>
    <w:tbl>
      <w:tblPr>
        <w:tblStyle w:val="a9"/>
        <w:tblW w:w="10456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46"/>
        <w:gridCol w:w="3966"/>
        <w:gridCol w:w="5544"/>
      </w:tblGrid>
      <w:tr>
        <w:trPr/>
        <w:tc>
          <w:tcPr>
            <w:tcW w:w="94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пп</w:t>
            </w:r>
          </w:p>
        </w:tc>
        <w:tc>
          <w:tcPr>
            <w:tcW w:w="396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Требование</w:t>
            </w:r>
          </w:p>
        </w:tc>
        <w:tc>
          <w:tcPr>
            <w:tcW w:w="554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Информация</w:t>
            </w:r>
          </w:p>
        </w:tc>
      </w:tr>
      <w:tr>
        <w:trPr/>
        <w:tc>
          <w:tcPr>
            <w:tcW w:w="946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426" w:hanging="36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Разрабатываемые разделы</w:t>
            </w:r>
          </w:p>
        </w:tc>
        <w:tc>
          <w:tcPr>
            <w:tcW w:w="5544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 xml:space="preserve">Разработать </w:t>
            </w:r>
            <w:r>
              <w:rPr>
                <w:rFonts w:eastAsia="Calibri" w:cs="Times New Roman" w:eastAsiaTheme="minorHAnsi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>Сметную документацию на техническое перевооружение производственных зданий.</w:t>
            </w:r>
          </w:p>
        </w:tc>
      </w:tr>
      <w:tr>
        <w:trPr/>
        <w:tc>
          <w:tcPr>
            <w:tcW w:w="946" w:type="dxa"/>
            <w:tcBorders>
              <w:top w:val="nil"/>
            </w:tcBorders>
            <w:shd w:color="auto"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426" w:hanging="36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Заказчик </w:t>
            </w:r>
          </w:p>
        </w:tc>
        <w:tc>
          <w:tcPr>
            <w:tcW w:w="5544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«Технология»</w:t>
            </w:r>
          </w:p>
        </w:tc>
      </w:tr>
      <w:tr>
        <w:trPr/>
        <w:tc>
          <w:tcPr>
            <w:tcW w:w="946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426" w:hanging="36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Наименование объекта </w:t>
            </w:r>
          </w:p>
        </w:tc>
        <w:tc>
          <w:tcPr>
            <w:tcW w:w="554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Т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ехническое перевооружение производственных зданий</w:t>
            </w:r>
          </w:p>
        </w:tc>
      </w:tr>
      <w:tr>
        <w:trPr/>
        <w:tc>
          <w:tcPr>
            <w:tcW w:w="946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426" w:hanging="36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Ориентировочные сроки исполнения работ </w:t>
            </w:r>
          </w:p>
        </w:tc>
        <w:tc>
          <w:tcPr>
            <w:tcW w:w="554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Начало: 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>01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.0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>4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.2020г. 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Окончание: 30.04.2020г. </w:t>
            </w:r>
          </w:p>
        </w:tc>
      </w:tr>
      <w:tr>
        <w:trPr/>
        <w:tc>
          <w:tcPr>
            <w:tcW w:w="946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426" w:hanging="36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Вид строительства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554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Техническое перевооружение</w:t>
            </w:r>
          </w:p>
        </w:tc>
      </w:tr>
      <w:tr>
        <w:trPr/>
        <w:tc>
          <w:tcPr>
            <w:tcW w:w="946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426" w:hanging="36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Натуральные показатели объекта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554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1. Здание №1, 1965 года постройки, выполнено в</w:t>
              <w:br/>
              <w:t>железобетонном каркасе, прямоугольной формы в плане, 2 этажное, состоит из: административной части, расположенной в осях  «А-В/1-20», габаритные размеры в плане 9,3x74,0м, и производственной части в осях ««В-ЦЯ-</w:t>
            </w:r>
            <w:r>
              <w:rPr>
                <w:rFonts w:cs="Times New Roman" w:ascii="Times New Roman" w:hAnsi="Times New Roman"/>
                <w:sz w:val="22"/>
                <w:szCs w:val="22"/>
                <w:lang w:val="en-US" w:eastAsia="ru-RU"/>
              </w:rPr>
              <w:t>VII</w:t>
            </w: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», габаритные размеры в плане 97,0x72,0м. Общая площадь здания составляет 8808,0 м2 (в том числе производственная площадь 4932,0 м2).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2. Здание №2, 1963 года постройки, кирпичное 5-этажное</w:t>
              <w:br/>
              <w:t>(перекрытие - ж/6 плиты, фундамент - ж/бетон) общей</w:t>
              <w:br/>
              <w:t>площадью 19192,4 кв.м. (в т.ч. производственная площадь -</w:t>
              <w:br/>
              <w:t>8684,40 кв. м.). Габаритные размеры в плане: (211,06м х</w:t>
              <w:br/>
              <w:t>17,83м) + (17,89м х 17,88м) + (17,89м х 17,88м).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3. Здание №3, 1958 года постройки, кирпичное 2-этажное</w:t>
              <w:br/>
              <w:t>(перекрытие — ж/б плиты, фундамент - ж/бетон) общей</w:t>
              <w:br/>
              <w:t>площадью 4 467,5 м2 (в т.ч. производственная площадь -</w:t>
              <w:br/>
              <w:t>2401,1 м2). Габаритные размеры в плане 32,0 м х 111,70 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4. Здание №4, 1959 года постройки, кирпичное 3-этажное</w:t>
              <w:br/>
              <w:t>(перекрытие - ж/б плиты, фундамент - ж/бетон) общей</w:t>
              <w:br/>
              <w:t>площадью 3902,7 м2 (в т.ч. производственная площадь</w:t>
              <w:br/>
              <w:t>1684,2 м2). Габаритные размеры в плане 19,0 м х 111,26 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5. Здание №7: 1958 года постройки, кирпичное 2-этажное</w:t>
              <w:br/>
              <w:t>(перекрытие - ж/б плиты, фундамент - ж/бетон) общей</w:t>
              <w:br/>
              <w:t>площадью 4951,7 кв.м. (в т.ч. производственная площадь -</w:t>
              <w:br/>
              <w:t>2371,4 кв. м.). Габаритные размеры в плане осях «1-36/А-В»</w:t>
              <w:br/>
              <w:t>- 210,0x18,0 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6. Здание №101, 1965 года постройки, кирпичное 3-</w:t>
              <w:br/>
              <w:t>этажное (перекрытие - ж/б плиты, фундамент - ж/бетон)</w:t>
              <w:br/>
              <w:t>общей площадью 15427,0 кв.м. (в т.ч. производственная</w:t>
              <w:br/>
              <w:t>площадь - 9337,8 кв. м.). Габаритные размеры в плане в осях</w:t>
              <w:br/>
              <w:t>«4-24/Б-У» - 120,0x90,0 м, в осях «1-4/А-У» - 9,60x96,40м.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7. Здание №102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1969 года постройки, кирпичное 3-этажное (перекрытие - ж/б плиты, фундамент - ж/бетон) общей площадью 15746,7 кв.м. (в т.ч. производственная площадь - 8574,0 кв. м.). Габаритные размеры в плане в осях «4-24/Б-У» - 120,0x90,0 м, в осях «1-4/А-У» - 9,60x96,40м.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8. Здание №194, 1977 года постройки, кирпичное 2-этажное (перекрытие - ж/б плиты, фундамент - ж/бетон) общей площадью 945,7 кв.м. (в т.ч. производственная площадь - 431,9 кв. м.). Габаритные размеры в плане 42,0м х18,0м.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Указанные здания обеспечены необходимыми энергоресурсами и инженерными коммуникациями (водопроводом, канализацией, отоплением, сжатым воздухом, электроэнергией и т.д.)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Вновь вводимое технологическое оборудование устанавливается на производственных участках в существующих зданиях №№1,2,3,4,7,101,102,194 согласно технологическим планировкам, и подключается к инженерным сетям согласно паспортным данным и выданным техническим условиям.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  <w:lang w:eastAsia="ru-RU"/>
              </w:rPr>
              <w:t xml:space="preserve">Общая площадь помещений, задействованных техническим перевооружением - </w:t>
            </w:r>
            <w:r>
              <w:rPr>
                <w:rFonts w:cs="Times New Roman" w:ascii="Times New Roman" w:hAnsi="Times New Roman"/>
                <w:b/>
                <w:sz w:val="22"/>
                <w:szCs w:val="22"/>
                <w:highlight w:val="white"/>
                <w:lang w:eastAsia="ru-RU"/>
              </w:rPr>
              <w:t>2777м2.</w:t>
            </w:r>
          </w:p>
          <w:tbl>
            <w:tblPr>
              <w:tblW w:w="5304" w:type="dxa"/>
              <w:jc w:val="left"/>
              <w:tblInd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firstRow="1" w:noVBand="1" w:lastRow="0" w:firstColumn="1" w:lastColumn="0" w:noHBand="0" w:val="04a0"/>
            </w:tblPr>
            <w:tblGrid>
              <w:gridCol w:w="1302"/>
              <w:gridCol w:w="1724"/>
              <w:gridCol w:w="2278"/>
            </w:tblGrid>
            <w:tr>
              <w:trPr>
                <w:trHeight w:val="750" w:hRule="atLeast"/>
              </w:trPr>
              <w:tc>
                <w:tcPr>
                  <w:tcW w:w="13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Площадь здания, м2</w:t>
                  </w:r>
                  <w:bookmarkStart w:id="0" w:name="_GoBack"/>
                  <w:bookmarkEnd w:id="0"/>
                </w:p>
              </w:tc>
              <w:tc>
                <w:tcPr>
                  <w:tcW w:w="22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Площадь техперевооружения, м2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3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Здание №1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8808</w:t>
                  </w:r>
                </w:p>
              </w:tc>
              <w:tc>
                <w:tcPr>
                  <w:tcW w:w="22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360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3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Здание №2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19192,4</w:t>
                  </w:r>
                </w:p>
              </w:tc>
              <w:tc>
                <w:tcPr>
                  <w:tcW w:w="22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466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3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Здание №3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4467,5</w:t>
                  </w:r>
                </w:p>
              </w:tc>
              <w:tc>
                <w:tcPr>
                  <w:tcW w:w="22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864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3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Здание №4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3902,7</w:t>
                  </w:r>
                </w:p>
              </w:tc>
              <w:tc>
                <w:tcPr>
                  <w:tcW w:w="22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199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3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Здание №7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4951,7</w:t>
                  </w:r>
                </w:p>
              </w:tc>
              <w:tc>
                <w:tcPr>
                  <w:tcW w:w="22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82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3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Здание №101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15427</w:t>
                  </w:r>
                </w:p>
              </w:tc>
              <w:tc>
                <w:tcPr>
                  <w:tcW w:w="22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104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3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Здание №102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15746,7</w:t>
                  </w:r>
                </w:p>
              </w:tc>
              <w:tc>
                <w:tcPr>
                  <w:tcW w:w="22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576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3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Здание №194</w:t>
                  </w:r>
                </w:p>
              </w:tc>
              <w:tc>
                <w:tcPr>
                  <w:tcW w:w="1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945,7</w:t>
                  </w:r>
                </w:p>
              </w:tc>
              <w:tc>
                <w:tcPr>
                  <w:tcW w:w="22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2"/>
                      <w:szCs w:val="22"/>
                      <w:lang w:eastAsia="ru-RU"/>
                    </w:rPr>
                    <w:t>126</w:t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426" w:hanging="36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Стадийность выполняемых проектных работ (ПД, РД)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Проектная документация</w:t>
            </w:r>
          </w:p>
        </w:tc>
      </w:tr>
      <w:tr>
        <w:trPr/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426" w:hanging="36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Наличие экспертизы (ГОС, НЕГОС)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Государственная экспертиза</w:t>
            </w:r>
          </w:p>
        </w:tc>
      </w:tr>
      <w:tr>
        <w:trPr/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426" w:hanging="36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Технические требования к выполняемым работам (что нужно запроектировать)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Разработать проектную в соответствии с Положением о составе разделов проектной документации и требованиях к их содержанию, утвержденным, постановлением Правительства Российской Федерации от 16.02.2008 №87 (в ред. от 06.07.2019г.), и в соответствии с «Градостроительным кодексом Российской Федерации» от 29.12.2004 № 190-ФЗ (в ред. от 08.08.2019, с изменениями и дополнениями, вступившими в силу с 13.08.2019).</w:t>
            </w:r>
          </w:p>
          <w:p>
            <w:pPr>
              <w:pStyle w:val="Normal"/>
              <w:spacing w:lineRule="atLeast" w:line="23" w:before="144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Сопровождение проектной документации при прохождении экспертизы ПД</w:t>
            </w:r>
          </w:p>
        </w:tc>
      </w:tr>
      <w:tr>
        <w:trPr/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426" w:hanging="36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Бюджет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>120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000,00 руб. без НДС - для ФЛ.</w:t>
            </w:r>
          </w:p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>144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000,00 руб. без НДС для ИП</w:t>
            </w:r>
          </w:p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>240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000,00 руб. с НДС для ООО/ЗАО/ОАО</w:t>
            </w:r>
          </w:p>
          <w:p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Стоимость работ в объявлении указана в базисе цен для физических лиц.</w:t>
            </w:r>
          </w:p>
          <w:p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При указании стоимости просьба указать стоимость в базисе цен согласно выбранному способу сотрудничества.</w:t>
            </w:r>
          </w:p>
        </w:tc>
      </w:tr>
      <w:tr>
        <w:trPr/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426" w:hanging="36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Условия оплаты (этапность оплаты: наличие аванса и т.д.)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b w:val="false"/>
                <w:i w:val="false"/>
                <w:caps w:val="false"/>
                <w:smallCaps w:val="false"/>
                <w:color w:val="auto"/>
                <w:spacing w:val="0"/>
                <w:kern w:val="0"/>
                <w:sz w:val="22"/>
                <w:szCs w:val="22"/>
                <w:lang w:val="ru-RU" w:eastAsia="en-US" w:bidi="ar-SA"/>
              </w:rPr>
              <w:t>Расчет – безналичный</w:t>
              <w:br/>
              <w:t>Аванс – не более 10%</w:t>
            </w:r>
          </w:p>
          <w:p>
            <w:pPr>
              <w:pStyle w:val="Style18"/>
              <w:rPr>
                <w:rFonts w:ascii="Times New Roman" w:hAnsi="Times New Roman" w:eastAsia="Calibri" w:cs="Times New Roman" w:eastAsiaTheme="minorHAnsi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b w:val="false"/>
                <w:i w:val="false"/>
                <w:caps w:val="false"/>
                <w:smallCaps w:val="false"/>
                <w:color w:val="auto"/>
                <w:spacing w:val="0"/>
                <w:kern w:val="0"/>
                <w:sz w:val="22"/>
                <w:szCs w:val="22"/>
                <w:lang w:val="ru-RU" w:eastAsia="en-US" w:bidi="ar-SA"/>
              </w:rPr>
              <w:t>Вторая оплата в размере 45% при передаче документации на экспертизу.</w:t>
            </w:r>
          </w:p>
          <w:p>
            <w:pPr>
              <w:pStyle w:val="Style18"/>
              <w:rPr>
                <w:rFonts w:ascii="Times New Roman" w:hAnsi="Times New Roman" w:eastAsia="Calibri" w:cs="Times New Roman" w:eastAsiaTheme="minorHAnsi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b w:val="false"/>
                <w:i w:val="false"/>
                <w:caps w:val="false"/>
                <w:smallCaps w:val="false"/>
                <w:color w:val="auto"/>
                <w:spacing w:val="0"/>
                <w:kern w:val="0"/>
                <w:sz w:val="22"/>
                <w:szCs w:val="22"/>
                <w:lang w:val="ru-RU" w:eastAsia="en-US" w:bidi="ar-SA"/>
              </w:rPr>
              <w:t>Третья оплата в размере 20% после получения положительного заключения экспертизы</w:t>
            </w:r>
          </w:p>
          <w:p>
            <w:pPr>
              <w:pStyle w:val="Style18"/>
              <w:widowControl/>
              <w:spacing w:before="0" w:after="150"/>
              <w:ind w:left="0" w:right="0" w:hanging="0"/>
              <w:rPr>
                <w:rFonts w:ascii="Times New Roman" w:hAnsi="Times New Roman" w:eastAsia="Calibri" w:cs="Times New Roman" w:eastAsiaTheme="minorHAnsi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b w:val="false"/>
                <w:i w:val="false"/>
                <w:caps w:val="false"/>
                <w:smallCaps w:val="false"/>
                <w:color w:val="auto"/>
                <w:spacing w:val="0"/>
                <w:kern w:val="0"/>
                <w:sz w:val="22"/>
                <w:szCs w:val="22"/>
                <w:lang w:val="ru-RU" w:eastAsia="en-US" w:bidi="ar-SA"/>
              </w:rPr>
              <w:t>Четвертая оплата после получения финансирования от Заказчика 25%.</w:t>
            </w:r>
          </w:p>
        </w:tc>
      </w:tr>
      <w:tr>
        <w:trPr/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426" w:hanging="36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Исходные данные</w:t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Все необходимые исходные данные будут предоставлены исполнителю перед началом работ. Дополнительные исходные данные предоставляются по запросу (технологические планировки и перечень заменяемого технологического оборудования)</w:t>
            </w:r>
          </w:p>
        </w:tc>
      </w:tr>
    </w:tbl>
    <w:p>
      <w:p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 заявке просим указать:</w:t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1) Планируемую форму сотрудничества (ООО/АО/ИП, Физ. лицо)</w:t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2) Опыт выполнения проектной документации по промышленным объектам, с прохождением государственной экспертизы. (Приложить портфолио).</w:t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Предоставление дополнительной информации возможно по запросу.</w:t>
      </w:r>
    </w:p>
    <w:p>
      <w:pPr>
        <w:pStyle w:val="NoSpacing"/>
        <w:rPr/>
      </w:pPr>
      <w:r>
        <w:rPr>
          <w:rFonts w:cs="Times New Roman" w:ascii="Times New Roman" w:hAnsi="Times New Roman"/>
        </w:rPr>
        <w:t>Необходимые исходные данные Исполнителю будут предоставлены перед началом работ.</w:t>
      </w:r>
    </w:p>
    <w:sectPr>
      <w:type w:val="nextPage"/>
      <w:pgSz w:w="11906" w:h="16838"/>
      <w:pgMar w:left="1134" w:right="851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54967"/>
    <w:rPr>
      <w:sz w:val="16"/>
      <w:szCs w:val="16"/>
    </w:rPr>
  </w:style>
  <w:style w:type="character" w:styleId="Style14" w:customStyle="1">
    <w:name w:val="Текст примечания Знак"/>
    <w:basedOn w:val="DefaultParagraphFont"/>
    <w:link w:val="ac"/>
    <w:uiPriority w:val="99"/>
    <w:semiHidden/>
    <w:qFormat/>
    <w:rsid w:val="00454967"/>
    <w:rPr>
      <w:szCs w:val="20"/>
    </w:rPr>
  </w:style>
  <w:style w:type="character" w:styleId="Style15" w:customStyle="1">
    <w:name w:val="Тема примечания Знак"/>
    <w:basedOn w:val="Style14"/>
    <w:link w:val="ae"/>
    <w:uiPriority w:val="99"/>
    <w:semiHidden/>
    <w:qFormat/>
    <w:rsid w:val="00454967"/>
    <w:rPr>
      <w:b/>
      <w:bCs/>
      <w:szCs w:val="20"/>
    </w:rPr>
  </w:style>
  <w:style w:type="character" w:styleId="Style16" w:customStyle="1">
    <w:name w:val="Текст выноски Знак"/>
    <w:basedOn w:val="DefaultParagraphFont"/>
    <w:link w:val="af0"/>
    <w:uiPriority w:val="99"/>
    <w:semiHidden/>
    <w:qFormat/>
    <w:rsid w:val="00454967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Style22">
    <w:name w:val="Title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e67e73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rsid w:val="00fd2406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Annotationtext">
    <w:name w:val="annotation text"/>
    <w:basedOn w:val="Normal"/>
    <w:link w:val="ad"/>
    <w:uiPriority w:val="99"/>
    <w:semiHidden/>
    <w:unhideWhenUsed/>
    <w:qFormat/>
    <w:rsid w:val="00454967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"/>
    <w:uiPriority w:val="99"/>
    <w:semiHidden/>
    <w:unhideWhenUsed/>
    <w:qFormat/>
    <w:rsid w:val="00454967"/>
    <w:pPr/>
    <w:rPr>
      <w:b/>
      <w:bCs/>
    </w:rPr>
  </w:style>
  <w:style w:type="paragraph" w:styleId="BalloonText">
    <w:name w:val="Balloon Text"/>
    <w:basedOn w:val="Normal"/>
    <w:link w:val="af1"/>
    <w:uiPriority w:val="99"/>
    <w:semiHidden/>
    <w:unhideWhenUsed/>
    <w:qFormat/>
    <w:rsid w:val="0045496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e67e73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Application>LibreOffice/6.2.5.2$Windows_X86_64 LibreOffice_project/1ec314fa52f458adc18c4f025c545a4e8b22c159</Application>
  <Pages>3</Pages>
  <Words>696</Words>
  <Characters>4502</Characters>
  <CharactersWithSpaces>5118</CharactersWithSpaces>
  <Paragraphs>92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2019-07-10T12:35:00Z</dcterms:created>
  <dc:creator>Вахрушев Пётр Сергеевич</dc:creator>
  <dc:description/>
  <dc:language>ru-RU</dc:language>
  <cp:lastModifiedBy/>
  <dcterms:modified xsi:type="dcterms:W3CDTF">2020-03-05T11:58:09Z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